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ind w:firstLine="0"/>
        <w:jc w:val="right"/>
        <w:tabs>
          <w:tab w:val="left" w:pos="9072" w:leader="none"/>
          <w:tab w:val="left" w:pos="1020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ект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8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Алтайского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86"/>
        <w:ind w:right="56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80"/>
        <w:ind w:left="709" w:right="849"/>
        <w:jc w:val="center"/>
        <w:tabs>
          <w:tab w:val="left" w:pos="878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дополнительного использования </w:t>
      </w:r>
      <w:r>
        <w:rPr>
          <w:b/>
          <w:sz w:val="28"/>
          <w:szCs w:val="28"/>
        </w:rPr>
        <w:t xml:space="preserve">в 2023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редств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бюджета для осуществления переданных </w:t>
      </w:r>
      <w:r>
        <w:rPr>
          <w:b/>
          <w:bCs/>
          <w:sz w:val="28"/>
          <w:szCs w:val="28"/>
        </w:rPr>
        <w:t xml:space="preserve">полномочий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>
        <w:rPr>
          <w:b/>
          <w:bCs/>
          <w:sz w:val="28"/>
          <w:szCs w:val="28"/>
        </w:rPr>
        <w:t xml:space="preserve">на государственную</w:t>
      </w:r>
      <w:r>
        <w:rPr>
          <w:b/>
          <w:bCs/>
          <w:sz w:val="28"/>
          <w:szCs w:val="28"/>
        </w:rPr>
        <w:t xml:space="preserve"> регистрацию актов гражданского </w:t>
      </w:r>
      <w:r>
        <w:rPr>
          <w:b/>
          <w:bCs/>
          <w:sz w:val="28"/>
          <w:szCs w:val="28"/>
        </w:rPr>
        <w:t xml:space="preserve">состояния</w:t>
      </w:r>
      <w:r>
        <w:rPr>
          <w:b/>
          <w:sz w:val="28"/>
          <w:szCs w:val="28"/>
        </w:rPr>
      </w:r>
      <w:r/>
    </w:p>
    <w:p>
      <w:pPr>
        <w:pStyle w:val="684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4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</w:t>
      </w:r>
      <w:r/>
    </w:p>
    <w:p>
      <w:pPr>
        <w:pStyle w:val="68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</w:t>
      </w:r>
      <w:r>
        <w:rPr>
          <w:sz w:val="28"/>
          <w:szCs w:val="28"/>
        </w:rPr>
        <w:t xml:space="preserve">акон в соответствии с частью 4 статьи 42 Федерального закона от 21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 </w:t>
      </w:r>
      <w:r>
        <w:rPr>
          <w:sz w:val="28"/>
          <w:szCs w:val="28"/>
        </w:rPr>
        <w:t xml:space="preserve">устанавливает порядок дополнительного использования </w:t>
      </w:r>
      <w:r>
        <w:rPr>
          <w:sz w:val="28"/>
          <w:szCs w:val="28"/>
        </w:rPr>
        <w:t xml:space="preserve">в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средств краевого бюджета </w:t>
      </w:r>
      <w:r>
        <w:rPr>
          <w:sz w:val="28"/>
          <w:szCs w:val="28"/>
        </w:rPr>
        <w:t xml:space="preserve">органом исполнительной власти Алтайского края</w:t>
      </w:r>
      <w:r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со статьей 4 Федерального закона от 15</w:t>
      </w:r>
      <w:r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1997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143-ФЗ «Об актах гражданского состояния» </w:t>
      </w:r>
      <w:r>
        <w:rPr>
          <w:sz w:val="28"/>
          <w:szCs w:val="28"/>
        </w:rPr>
        <w:t xml:space="preserve">переданные полномочия Российской Федерации на государственную регистрацию актов гражданского состояния</w:t>
      </w:r>
      <w:r>
        <w:rPr>
          <w:sz w:val="28"/>
          <w:szCs w:val="28"/>
        </w:rPr>
        <w:t xml:space="preserve"> (далее – переданные полномочия)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</w:t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дополнительных расходов, необходимых для исполнения переданных полномочий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</w:t>
      </w:r>
      <w:r>
        <w:rPr>
          <w:sz w:val="28"/>
          <w:szCs w:val="28"/>
        </w:rPr>
        <w:t xml:space="preserve">собственных доходов и источников финансирования дефицита краевого бюджета в случае превышения нормативов, </w:t>
      </w:r>
      <w:r>
        <w:rPr>
          <w:sz w:val="28"/>
          <w:szCs w:val="28"/>
        </w:rPr>
        <w:t xml:space="preserve"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етодикой</w:t>
      </w:r>
      <w:r>
        <w:rPr>
          <w:sz w:val="28"/>
          <w:szCs w:val="28"/>
        </w:rPr>
        <w:t xml:space="preserve"> рас</w:t>
      </w:r>
      <w:r>
        <w:rPr>
          <w:sz w:val="28"/>
          <w:szCs w:val="28"/>
        </w:rPr>
        <w:t xml:space="preserve">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состояния, </w:t>
      </w:r>
      <w:r>
        <w:rPr>
          <w:sz w:val="28"/>
          <w:szCs w:val="28"/>
        </w:rPr>
        <w:t xml:space="preserve">утвержденной постановлением Правительства Российской Федерации от 21</w:t>
      </w:r>
      <w:r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513, </w:t>
      </w:r>
      <w:r>
        <w:rPr>
          <w:sz w:val="28"/>
          <w:szCs w:val="28"/>
        </w:rPr>
        <w:t xml:space="preserve">и недостаточности средств единой субвенции из федерального бюджета, предоставляемой бюджетам субъектов Российской Федерации для осуществления отдельных государственных полномочий, переданных в установленном порядке.</w:t>
      </w:r>
      <w:r>
        <w:rPr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</w:t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 xml:space="preserve">бюджета, указанные в статье 2 настоящего Закона, используются на:</w:t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оплату труда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органа исполнительной власти Алтайского края, указанного в статье 1 настоящего Закона</w:t>
      </w:r>
      <w:r>
        <w:rPr>
          <w:sz w:val="28"/>
          <w:szCs w:val="28"/>
        </w:rPr>
        <w:t xml:space="preserve">, в размерах, порядке и на условиях, установленных за</w:t>
      </w:r>
      <w:r>
        <w:rPr>
          <w:sz w:val="28"/>
          <w:szCs w:val="28"/>
        </w:rPr>
        <w:t xml:space="preserve">конодательством Алтайского края, </w:t>
      </w:r>
      <w:r>
        <w:rPr>
          <w:color w:val="000000"/>
          <w:sz w:val="28"/>
          <w:szCs w:val="28"/>
        </w:rPr>
        <w:t xml:space="preserve">выплаты при сокращении штатной численности,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уплату страховых взносов в гос</w:t>
      </w:r>
      <w:r>
        <w:rPr>
          <w:sz w:val="28"/>
          <w:szCs w:val="28"/>
        </w:rPr>
        <w:t xml:space="preserve">ударственные внебюджетные фонды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материально-техническое обеспечение органов записи актов гражданского состояния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.</w:t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Финансовое о</w:t>
      </w:r>
      <w:r>
        <w:rPr>
          <w:sz w:val="28"/>
          <w:szCs w:val="28"/>
        </w:rPr>
        <w:t xml:space="preserve">беспечение дополнительных расходов, необходимых для исполнения переданных полномочий, осуществляется за счет средств краевого бюджета в пределах ассигнований, предусмотренных на эти цели законом Алтайского края о краевом бюджете на очередной финансовый год</w:t>
      </w:r>
      <w:r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</w:r>
      <w:r/>
    </w:p>
    <w:p>
      <w:pPr>
        <w:pStyle w:val="680"/>
        <w:ind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8"/>
        <w:widowControl w:val="o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Настоящий Закон вступает в силу </w:t>
      </w:r>
      <w:r>
        <w:rPr>
          <w:color w:val="000000"/>
          <w:sz w:val="28"/>
          <w:szCs w:val="28"/>
        </w:rPr>
        <w:t xml:space="preserve">со дня его официального опубликования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распространяет свое действие на правоотношения, возникшие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 1</w:t>
      </w:r>
      <w:r>
        <w:rPr>
          <w:color w:val="000000"/>
          <w:sz w:val="28"/>
          <w:szCs w:val="28"/>
          <w:lang w:val="ru-RU"/>
        </w:rPr>
        <w:t xml:space="preserve"> января </w:t>
      </w:r>
      <w:r>
        <w:rPr>
          <w:color w:val="000000"/>
          <w:sz w:val="28"/>
          <w:szCs w:val="28"/>
          <w:lang w:val="ru-RU"/>
        </w:rPr>
        <w:t xml:space="preserve">2023</w:t>
      </w:r>
      <w:r>
        <w:rPr>
          <w:color w:val="000000"/>
          <w:sz w:val="28"/>
          <w:szCs w:val="28"/>
          <w:lang w:val="ru-RU"/>
        </w:rPr>
        <w:t xml:space="preserve"> года</w:t>
      </w:r>
      <w:r>
        <w:rPr>
          <w:color w:val="000000"/>
          <w:sz w:val="28"/>
          <w:szCs w:val="28"/>
          <w:lang w:val="ru-RU"/>
        </w:rPr>
        <w:t xml:space="preserve">, и действует до 31 декабря 2023 года включительно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698"/>
        <w:ind w:right="566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ind w:right="566" w:firstLine="709"/>
        <w:jc w:val="both"/>
        <w:widowControl w:val="off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ind w:right="566" w:firstLine="709"/>
        <w:jc w:val="both"/>
        <w:widowControl w:val="off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jc w:val="both"/>
        <w:widowControl w:val="off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 Алтайского края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В.П. Томе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</w:r>
      <w:r/>
    </w:p>
    <w:p>
      <w:pPr>
        <w:pStyle w:val="680"/>
        <w:ind w:right="566" w:firstLine="709"/>
        <w:jc w:val="both"/>
        <w:widowControl w:val="off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14">
    <w:panose1 w:val="02000603000000000000"/>
  </w:font>
  <w:font w:name="Tahoma">
    <w:panose1 w:val="020B060403050404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ind w:left="-284" w:right="1701" w:firstLine="5529"/>
      <w:rPr>
        <w:rStyle w:val="697"/>
        <w:sz w:val="24"/>
        <w:szCs w:val="24"/>
      </w:rPr>
      <w:framePr w:w="19860" w:wrap="around" w:vAnchor="page" w:hAnchor="margin" w:x="3969" w:y="568"/>
    </w:pPr>
    <w:r>
      <w:rPr>
        <w:rStyle w:val="697"/>
        <w:sz w:val="24"/>
        <w:szCs w:val="24"/>
        <w:lang w:val="ru-RU"/>
      </w:rPr>
      <w:t xml:space="preserve">     </w:t>
    </w:r>
    <w:r>
      <w:rPr>
        <w:rStyle w:val="697"/>
        <w:sz w:val="24"/>
        <w:szCs w:val="24"/>
      </w:rPr>
      <w:fldChar w:fldCharType="begin"/>
    </w:r>
    <w:r>
      <w:rPr>
        <w:rStyle w:val="697"/>
        <w:sz w:val="24"/>
        <w:szCs w:val="24"/>
      </w:rPr>
      <w:instrText xml:space="preserve">PAGE  </w:instrText>
    </w:r>
    <w:r>
      <w:rPr>
        <w:rStyle w:val="697"/>
        <w:sz w:val="24"/>
        <w:szCs w:val="24"/>
      </w:rPr>
      <w:fldChar w:fldCharType="separate"/>
    </w:r>
    <w:r>
      <w:rPr>
        <w:rStyle w:val="697"/>
        <w:sz w:val="24"/>
        <w:szCs w:val="24"/>
      </w:rPr>
      <w:t xml:space="preserve">2</w:t>
    </w:r>
    <w:r>
      <w:rPr>
        <w:rStyle w:val="697"/>
        <w:sz w:val="24"/>
        <w:szCs w:val="24"/>
      </w:rPr>
      <w:fldChar w:fldCharType="end"/>
    </w:r>
    <w:r>
      <w:rPr>
        <w:rStyle w:val="697"/>
        <w:sz w:val="24"/>
        <w:szCs w:val="24"/>
      </w:rPr>
    </w:r>
    <w:r/>
  </w:p>
  <w:p>
    <w:pPr>
      <w:pStyle w:val="69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rPr>
        <w:rStyle w:val="697"/>
      </w:rPr>
      <w:framePr w:wrap="around" w:vAnchor="text" w:hAnchor="margin" w:xAlign="right" w:y="1"/>
    </w:pPr>
    <w:r>
      <w:rPr>
        <w:rStyle w:val="697"/>
      </w:rPr>
      <w:fldChar w:fldCharType="begin"/>
    </w:r>
    <w:r>
      <w:rPr>
        <w:rStyle w:val="697"/>
      </w:rPr>
      <w:instrText xml:space="preserve">PAGE  </w:instrText>
    </w:r>
    <w:r>
      <w:rPr>
        <w:rStyle w:val="697"/>
      </w:rPr>
      <w:fldChar w:fldCharType="end"/>
    </w:r>
    <w:r>
      <w:rPr>
        <w:rStyle w:val="697"/>
      </w:rPr>
    </w:r>
    <w:r/>
  </w:p>
  <w:p>
    <w:pPr>
      <w:pStyle w:val="69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8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78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50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22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94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6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8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10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82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546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  <w:tabs>
          <w:tab w:val="num" w:pos="106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89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5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89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1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3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5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7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49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1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3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59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0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915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78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50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22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94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6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8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10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82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546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89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59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789" w:hanging="1080"/>
        <w:tabs>
          <w:tab w:val="num" w:pos="178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909" w:hanging="1200"/>
        <w:tabs>
          <w:tab w:val="num" w:pos="190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1755" w:hanging="1035"/>
        <w:tabs>
          <w:tab w:val="num" w:pos="175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21"/>
  </w:num>
  <w:num w:numId="5">
    <w:abstractNumId w:val="5"/>
  </w:num>
  <w:num w:numId="6">
    <w:abstractNumId w:val="19"/>
  </w:num>
  <w:num w:numId="7">
    <w:abstractNumId w:val="1"/>
  </w:num>
  <w:num w:numId="8">
    <w:abstractNumId w:val="20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0"/>
  </w:num>
  <w:num w:numId="19">
    <w:abstractNumId w:val="15"/>
  </w:num>
  <w:num w:numId="20">
    <w:abstractNumId w:val="12"/>
  </w:num>
  <w:num w:numId="21">
    <w:abstractNumId w:val="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next w:val="680"/>
    <w:link w:val="680"/>
    <w:qFormat/>
    <w:rPr>
      <w:lang w:val="ru-RU" w:eastAsia="ru-RU" w:bidi="ar-SA"/>
    </w:rPr>
  </w:style>
  <w:style w:type="character" w:styleId="681">
    <w:name w:val="Основной шрифт абзаца"/>
    <w:next w:val="681"/>
    <w:link w:val="680"/>
    <w:uiPriority w:val="99"/>
    <w:semiHidden/>
  </w:style>
  <w:style w:type="table" w:styleId="682">
    <w:name w:val="Обычная таблица"/>
    <w:next w:val="682"/>
    <w:link w:val="680"/>
    <w:uiPriority w:val="99"/>
    <w:semiHidden/>
    <w:unhideWhenUsed/>
    <w:tblPr/>
  </w:style>
  <w:style w:type="numbering" w:styleId="683">
    <w:name w:val="Нет списка"/>
    <w:next w:val="683"/>
    <w:link w:val="680"/>
    <w:uiPriority w:val="99"/>
    <w:semiHidden/>
    <w:unhideWhenUsed/>
  </w:style>
  <w:style w:type="paragraph" w:styleId="684">
    <w:name w:val="ConsPlusNormal"/>
    <w:next w:val="684"/>
    <w:link w:val="68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5">
    <w:name w:val="ConsPlusNonformat"/>
    <w:next w:val="685"/>
    <w:link w:val="68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86">
    <w:name w:val="ConsPlusTitle"/>
    <w:next w:val="686"/>
    <w:link w:val="68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7">
    <w:name w:val="ConsPlusCell"/>
    <w:next w:val="687"/>
    <w:link w:val="680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88">
    <w:name w:val="ConsPlusDocList"/>
    <w:next w:val="688"/>
    <w:link w:val="68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table" w:styleId="689">
    <w:name w:val="Сетка таблицы"/>
    <w:basedOn w:val="682"/>
    <w:next w:val="689"/>
    <w:link w:val="680"/>
    <w:uiPriority w:val="99"/>
    <w:pPr>
      <w:spacing w:after="0" w:line="240" w:lineRule="auto"/>
    </w:pPr>
    <w:rPr>
      <w:sz w:val="20"/>
      <w:szCs w:val="20"/>
    </w:rPr>
    <w:tblPr/>
  </w:style>
  <w:style w:type="paragraph" w:styleId="690">
    <w:name w:val="Знак"/>
    <w:basedOn w:val="680"/>
    <w:next w:val="690"/>
    <w:link w:val="680"/>
    <w:uiPriority w:val="9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/>
      <w:lang w:val="en-US" w:eastAsia="en-US"/>
    </w:rPr>
  </w:style>
  <w:style w:type="paragraph" w:styleId="691">
    <w:name w:val="Текст выноски"/>
    <w:basedOn w:val="680"/>
    <w:next w:val="691"/>
    <w:link w:val="692"/>
    <w:uiPriority w:val="99"/>
    <w:semiHidden/>
    <w:rPr>
      <w:rFonts w:ascii="Tahoma" w:hAnsi="Tahoma"/>
      <w:sz w:val="16"/>
      <w:szCs w:val="16"/>
      <w:lang w:val="en-US" w:eastAsia="en-US"/>
    </w:rPr>
  </w:style>
  <w:style w:type="character" w:styleId="692">
    <w:name w:val="Текст выноски Знак"/>
    <w:next w:val="692"/>
    <w:link w:val="691"/>
    <w:uiPriority w:val="99"/>
    <w:semiHidden/>
    <w:rPr>
      <w:rFonts w:ascii="Tahoma" w:hAnsi="Tahoma" w:cs="Tahoma"/>
      <w:sz w:val="16"/>
      <w:szCs w:val="16"/>
    </w:rPr>
  </w:style>
  <w:style w:type="paragraph" w:styleId="693">
    <w:name w:val="Верхний колонтитул"/>
    <w:basedOn w:val="680"/>
    <w:next w:val="693"/>
    <w:link w:val="69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4">
    <w:name w:val="Верхний колонтитул Знак"/>
    <w:next w:val="694"/>
    <w:link w:val="693"/>
    <w:uiPriority w:val="99"/>
    <w:semiHidden/>
    <w:rPr>
      <w:rFonts w:cs="Times New Roman"/>
      <w:sz w:val="20"/>
      <w:szCs w:val="20"/>
    </w:rPr>
  </w:style>
  <w:style w:type="paragraph" w:styleId="695">
    <w:name w:val="Нижний колонтитул"/>
    <w:basedOn w:val="680"/>
    <w:next w:val="695"/>
    <w:link w:val="69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6">
    <w:name w:val="Нижний колонтитул Знак"/>
    <w:next w:val="696"/>
    <w:link w:val="695"/>
    <w:uiPriority w:val="99"/>
    <w:semiHidden/>
    <w:rPr>
      <w:rFonts w:cs="Times New Roman"/>
      <w:sz w:val="20"/>
      <w:szCs w:val="20"/>
    </w:rPr>
  </w:style>
  <w:style w:type="character" w:styleId="697">
    <w:name w:val="Номер страницы"/>
    <w:next w:val="697"/>
    <w:link w:val="680"/>
    <w:uiPriority w:val="99"/>
    <w:rPr>
      <w:rFonts w:cs="Times New Roman"/>
    </w:rPr>
  </w:style>
  <w:style w:type="paragraph" w:styleId="698">
    <w:name w:val="Основной текст с отступом 2"/>
    <w:basedOn w:val="680"/>
    <w:next w:val="698"/>
    <w:link w:val="699"/>
    <w:uiPriority w:val="99"/>
    <w:pPr>
      <w:ind w:firstLine="709"/>
      <w:jc w:val="both"/>
    </w:pPr>
    <w:rPr>
      <w:lang w:val="en-US" w:eastAsia="en-US"/>
    </w:rPr>
  </w:style>
  <w:style w:type="character" w:styleId="699">
    <w:name w:val="Основной текст с отступом 2 Знак"/>
    <w:next w:val="699"/>
    <w:link w:val="698"/>
    <w:uiPriority w:val="99"/>
    <w:rPr>
      <w:rFonts w:cs="Times New Roman"/>
      <w:sz w:val="20"/>
      <w:szCs w:val="20"/>
    </w:rPr>
  </w:style>
  <w:style w:type="character" w:styleId="700">
    <w:name w:val="Гиперссылка"/>
    <w:next w:val="700"/>
    <w:link w:val="680"/>
    <w:uiPriority w:val="99"/>
    <w:rPr>
      <w:rFonts w:cs="Times New Roman"/>
      <w:color w:val="0000ff"/>
      <w:u w:val="single"/>
    </w:rPr>
  </w:style>
  <w:style w:type="paragraph" w:styleId="701">
    <w:name w:val="Основной текст"/>
    <w:basedOn w:val="680"/>
    <w:next w:val="701"/>
    <w:link w:val="702"/>
    <w:uiPriority w:val="99"/>
    <w:pPr>
      <w:spacing w:after="120"/>
    </w:pPr>
    <w:rPr>
      <w:lang w:val="en-US" w:eastAsia="en-US"/>
    </w:rPr>
  </w:style>
  <w:style w:type="character" w:styleId="702">
    <w:name w:val="Основной текст Знак"/>
    <w:next w:val="702"/>
    <w:link w:val="701"/>
    <w:uiPriority w:val="99"/>
    <w:rPr>
      <w:rFonts w:cs="Times New Roman"/>
      <w:sz w:val="20"/>
      <w:szCs w:val="20"/>
    </w:rPr>
  </w:style>
  <w:style w:type="paragraph" w:styleId="703">
    <w:name w:val="Абзац списка"/>
    <w:basedOn w:val="680"/>
    <w:next w:val="703"/>
    <w:link w:val="680"/>
    <w:uiPriority w:val="34"/>
    <w:qFormat/>
    <w:pPr>
      <w:contextualSpacing/>
      <w:ind w:left="720" w:right="567"/>
      <w:spacing w:line="240" w:lineRule="exact"/>
    </w:pPr>
    <w:rPr>
      <w:rFonts w:ascii="Calibri" w:hAnsi="Calibri" w:eastAsia="Times New Roman"/>
      <w:sz w:val="22"/>
      <w:szCs w:val="22"/>
      <w:lang w:eastAsia="en-US"/>
    </w:rPr>
  </w:style>
  <w:style w:type="character" w:styleId="704">
    <w:name w:val="Неразрешенное упоминание"/>
    <w:next w:val="704"/>
    <w:link w:val="680"/>
    <w:uiPriority w:val="99"/>
    <w:semiHidden/>
    <w:unhideWhenUsed/>
    <w:rPr>
      <w:color w:val="605e5c"/>
      <w:shd w:val="clear" w:color="auto" w:fill="e1dfdd"/>
    </w:rPr>
  </w:style>
  <w:style w:type="paragraph" w:styleId="705">
    <w:name w:val="Без интервала"/>
    <w:next w:val="705"/>
    <w:link w:val="680"/>
    <w:qFormat/>
    <w:rPr>
      <w:rFonts w:ascii="14" w:hAnsi="14"/>
      <w:sz w:val="24"/>
      <w:szCs w:val="24"/>
      <w:lang w:val="ru-RU" w:eastAsia="ru-RU" w:bidi="ar-SA"/>
    </w:rPr>
  </w:style>
  <w:style w:type="paragraph" w:styleId="706">
    <w:name w:val="formattext"/>
    <w:basedOn w:val="680"/>
    <w:next w:val="706"/>
    <w:link w:val="680"/>
    <w:pPr>
      <w:spacing w:before="100" w:beforeAutospacing="1" w:after="100" w:afterAutospacing="1"/>
    </w:pPr>
    <w:rPr>
      <w:sz w:val="24"/>
      <w:szCs w:val="24"/>
    </w:rPr>
  </w:style>
  <w:style w:type="character" w:styleId="931" w:default="1">
    <w:name w:val="Default Paragraph Font"/>
    <w:uiPriority w:val="1"/>
    <w:semiHidden/>
    <w:unhideWhenUsed/>
  </w:style>
  <w:style w:type="numbering" w:styleId="932" w:default="1">
    <w:name w:val="No List"/>
    <w:uiPriority w:val="99"/>
    <w:semiHidden/>
    <w:unhideWhenUsed/>
  </w:style>
  <w:style w:type="table" w:styleId="9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труду и занятости населения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revision>74</cp:revision>
  <dcterms:created xsi:type="dcterms:W3CDTF">2021-11-30T07:45:00Z</dcterms:created>
  <dcterms:modified xsi:type="dcterms:W3CDTF">2023-01-11T07:50:00Z</dcterms:modified>
  <cp:version>983040</cp:version>
</cp:coreProperties>
</file>